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1F473A" w:rsidRPr="0083043A" w:rsidTr="006D3BA9">
        <w:trPr>
          <w:trHeight w:val="1969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8C40C7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proofErr w:type="gramEnd"/>
            <w:r w:rsidRPr="008C40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ҡ</w:t>
            </w:r>
            <w:r w:rsidRPr="008C40C7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районы 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1F473A" w:rsidRPr="0083043A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83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3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830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830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_2011@</w:t>
            </w:r>
            <w:r w:rsidRPr="008C40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830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  <w:r w:rsidRPr="0083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473A" w:rsidRPr="008C40C7" w:rsidRDefault="001F473A" w:rsidP="006D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18E7F" wp14:editId="66349845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муниципального района </w:t>
            </w:r>
            <w:proofErr w:type="spellStart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1F473A" w:rsidRPr="008C40C7" w:rsidRDefault="001F473A" w:rsidP="006D3BA9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1F473A" w:rsidRPr="008C40C7" w:rsidRDefault="001F473A" w:rsidP="006D3BA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ентральная,17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1F473A" w:rsidRPr="008C40C7" w:rsidRDefault="001F473A" w:rsidP="006D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40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8C40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</w:p>
        </w:tc>
      </w:tr>
    </w:tbl>
    <w:p w:rsidR="001F473A" w:rsidRPr="008C40C7" w:rsidRDefault="001F473A" w:rsidP="001F47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Lucida Sans Unicode" w:eastAsia="Calibri" w:hAnsi="Lucida Sans Unicode" w:cs="Times New Roman"/>
          <w:sz w:val="24"/>
          <w:szCs w:val="24"/>
          <w:lang w:val="en-US" w:eastAsia="ru-RU"/>
        </w:rPr>
      </w:pPr>
    </w:p>
    <w:p w:rsidR="001F473A" w:rsidRPr="008C40C7" w:rsidRDefault="001F473A" w:rsidP="001F47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8C40C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ҠАРАР                                                              </w:t>
      </w:r>
      <w:r w:rsidRPr="008C40C7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1F473A" w:rsidRDefault="001F473A" w:rsidP="001F473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17 май 2022 й.              № 17</w:t>
      </w:r>
      <w:r w:rsidRPr="008C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C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 2022 г.</w:t>
      </w:r>
    </w:p>
    <w:p w:rsidR="001F473A" w:rsidRDefault="001F473A" w:rsidP="001F473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73A" w:rsidRDefault="001F473A" w:rsidP="001F473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73A" w:rsidRDefault="001F473A" w:rsidP="001F47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составления и утверждения плана финансово-хозяйственной деятельности муниципальных бюджетных учреждений.</w:t>
      </w:r>
    </w:p>
    <w:p w:rsidR="001F473A" w:rsidRPr="001F473A" w:rsidRDefault="001F473A" w:rsidP="001F47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73A" w:rsidRPr="001F473A" w:rsidRDefault="001F473A" w:rsidP="001F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исполнения требований подпункта 6 пункта 3.3 статьи 32 Фе</w:t>
      </w: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дерального закона от 12 января 1996 года № 7-ФЗ «О некоммерческих организациях», в соответствии с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ния», Администрация сельского поселения </w:t>
      </w:r>
      <w:proofErr w:type="spellStart"/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F4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F4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1F4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1F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473A" w:rsidRPr="001F473A" w:rsidRDefault="001F473A" w:rsidP="001F47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составления и утверждения плана финансово-хозяйственной деятельности муниципальных бюджетных учреждений.</w:t>
      </w:r>
    </w:p>
    <w:p w:rsidR="001F473A" w:rsidRPr="001F473A" w:rsidRDefault="001F473A" w:rsidP="001F47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форму плана финансово-хозяйственной деятельности муниципально</w:t>
      </w: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бюджетного учреждения согласно приложению 1.</w:t>
      </w:r>
    </w:p>
    <w:p w:rsidR="001F473A" w:rsidRPr="001F473A" w:rsidRDefault="001F473A" w:rsidP="001F47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настоящее постановление на официальном сайте администрации сельского поселения </w:t>
      </w:r>
      <w:proofErr w:type="spellStart"/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F473A" w:rsidRPr="001F473A" w:rsidRDefault="001F473A" w:rsidP="001F47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2 г"/>
        </w:smartTagPr>
        <w:r w:rsidRPr="001F4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73A" w:rsidRPr="001F473A" w:rsidRDefault="001F473A" w:rsidP="001F47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над выполнением настоящего постановления оставляю за собой.</w:t>
      </w:r>
    </w:p>
    <w:p w:rsidR="001F473A" w:rsidRPr="001F473A" w:rsidRDefault="001F473A" w:rsidP="001F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3A" w:rsidRDefault="001F473A" w:rsidP="001F47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3A" w:rsidRPr="001F473A" w:rsidRDefault="001F473A" w:rsidP="001F47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3A" w:rsidRPr="00171AFC" w:rsidRDefault="001F473A" w:rsidP="001F47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1F473A" w:rsidRDefault="001F473A" w:rsidP="001F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Ялангачевский</w:t>
      </w:r>
      <w:proofErr w:type="spellEnd"/>
      <w:r w:rsidRPr="0017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Р.К. </w:t>
      </w:r>
      <w:proofErr w:type="spellStart"/>
      <w:r w:rsidRPr="0017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Гафурзянов</w:t>
      </w:r>
      <w:proofErr w:type="spellEnd"/>
      <w:r w:rsidRPr="0017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F473A" w:rsidRPr="001F473A" w:rsidRDefault="001F473A" w:rsidP="001F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73A" w:rsidRPr="001F473A" w:rsidRDefault="001F473A" w:rsidP="001F47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3A" w:rsidRPr="00A6323D" w:rsidRDefault="001F473A" w:rsidP="001F473A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proofErr w:type="spellStart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мая 2022 г.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составления и ведения плана финансово-хозяйственной деятельности муниципальных бюджетных и автономных учреждений 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Настоящий порядок устанавливает порядок составления и утверждения плана финансово-хозяйственной деятельности (далее - План) муниципальных бюджетных и автономных учреждений (далее - учреждение)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Ялангачевский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сельсовет.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</w:r>
      <w:r w:rsidRPr="001F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План составляется учреждением на финансовый год в случае, если бюджет сельского поселения утверждается на один финансовый год, либо на финансовый год и плановый период, если бюджет сельского поселения утверждается на очередной финансовый год и плановый период.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План составляется по кассовому методу, в рублях с точностью до 2 знаков после запятой в соответствии с Приложением № 1 к Порядку.</w:t>
      </w:r>
    </w:p>
    <w:p w:rsidR="001F473A" w:rsidRPr="001F473A" w:rsidRDefault="001F473A" w:rsidP="001F47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Показатели Плана группируются по следующим направлениям: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1 «Поступления и выплаты» отражаются плановые показатели остатков денежных средств на начало и конец соответствующего финансового года, показатели плановых поступлений и выплат;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2 «Сведения по выплатам на закупки товаров, работ, услуг» детализируются показатели выплат по расходам на закупку товаров, работ, услуг, включенные, в том числе в показатели, отраженные по соответствующим строкам раздела 1 «Поступления и выплаты» Плана.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II. Составление Плана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составлении Плана (внесении в него изменений) устанавливается (уточняется) плановый объем поступлений и выплат денежных средств.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7. Учреждение составляет План на основании обоснований (расчетов) плановых показателей поступлений и выплат (далее при совместном упоминании - обоснования (расчеты) плановых показателей), являющихся неотъемлемой частью Плана, формирование которых осуществляется в соответствии с Порядком составления и ведения Планов финансово-хозяйственной деятельности муниципальных бюджетных и автономных учреждений.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составляет План с учетом планируемых объемов: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субсидии на финансовое обеспечение выполнения муниципального задания;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целевых субсидий и целей их предоставления;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д) иных доходов, которые планирует получить учреждение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е) доходов от иной приносящей доход деятельности, предусмотренной уставом учреждения;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ж) расходов, связанных с осуществлением деятельности, предусмотренной уставом учреждения.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Учреждение в срок, не превышающий пятнадцати рабочих дней со дня доведения до учреждения муниципальным учреждением, осуществляющим переданные полномочия учредителя бюджетных и автономных учреждений,  информации о планируемых к предоставлению из местного бюджета объемах субсидий, осуществляет формирование Плана на основании обоснований (расчетов) плановых показателей, используемых при составлении Плана, и информации, доведенной органом - учредителем.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План, а также прилагаемые к нему обоснования (расчеты) плановых показателей, формируемые при составлении Плана, подписываются уполномоченным лицом учреждения.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План подлежит рассмотрению, согласованию и принятию в соответствии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с Порядком, но не позднее десяти рабочих дней после заключения соглашений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субсидий на очередной финансовый год и плановый период.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8.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а) планируемых поступлений: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от доходов – по коду аналитической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от возврата выплат, произведенных учреждениями в прошлых отчетных периодах (в том числе в связи с: возвратом в текущем финансовом году отклоненных кредитной организацией платежей учреждения;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возвратом в соответствии с законодательством Российской Федерации о налогах и сборах излишне уплаченных сумм налогов, сборов, страховых взносов, пеней, штрафов и процентов, возврата предоставленных учреждением кредитов (займов, ссуд) (далее – дебиторской задолженности прошлых лет), а также поступления от операций с финансовыми активами, кредитов, получаемых учреждением,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б) планируемых выплат: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по кодам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по возврату в бюджет остатков субсидий прошлых лет, предоставлению учреждением кредитов (займов, ссуд), возврату полученных учреждением кредитов, а также перечисление средств на депозиты и вложение в финансовые активы – по коду аналитической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по уплате налогов, объектом налогообложения которых являются доходы (прибыль) учреждения, – по коду аналитической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в) в рамках расчетов между головным учреждением и обособленны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и) подразделением(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), в том числе при перечислении обособленному подразделению средств части субсидии (гранта в форме субсидии), полученной учреждением из федерального бюджета,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III. Ведение Плана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9. Ведение Плана осуществляется учреждением путем внесения изменений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показатели Плана (далее – изменение показателей Плана) текущего финансового года, очередного года и первого года планового периода и формирования показателей Плана второго года планового периода.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показатели Плана осуществляется в соответствии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с Порядком.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Изменение показателей Плана в течение текущего финансового года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связи с: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а) использованием остатков средств на начало текущего финансового года, в том числе неиспользованных остатков целевых субсидий и субсидий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осуществление капитальных вложений, потребность в которых подтверждена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установленном бюджетным законодательством порядке;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изменением объема предоставляемых субсидий на финансовое обеспечение выполнения муниципального задания, целевых субсидий, субсидий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на осуществление капитальных вложений, грантов, в том числе грантов в форме субсидий;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изменением объема услуг (работ), предоставляемых за плату;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изменением объемов безвозмездных поступлений от юридических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и физических лиц;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поступлением средств дебиторской задолженности прошлых лет,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не включенных в показатели Плана при его составлении;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увеличением выплат по неисполненным обязательствам прошлых лет,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не включенных в показатели Плана при его составлении;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внесением изменений в план (план - график) закупок, предусматривающих увеличение или уменьшение ранее запланированных выплат;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8"/>
      <w:bookmarkEnd w:id="0"/>
      <w:r w:rsidRPr="001F473A">
        <w:rPr>
          <w:rFonts w:ascii="Times New Roman" w:eastAsia="Times New Roman" w:hAnsi="Times New Roman" w:cs="Times New Roman"/>
          <w:sz w:val="24"/>
          <w:szCs w:val="24"/>
        </w:rPr>
        <w:t>в) проведением реорганизации учреждения.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задания, целевых субсидий, субсидий на осуществление капитальных вложений, грантов в форме субсидий, предоставляемых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из бюджетов бюджетной системы Российской Федерации, осуществляется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пятнадцати рабочих дней после заключения соответствующего соглашения (дополнительного соглашения) о предоставлении субсидии (гранта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форме субсидии).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показателей, сформированные при составлении Плана, за исключением случаев, предусмотренных </w:t>
      </w:r>
      <w:hyperlink w:anchor="P113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12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в целях внесения изменений в показатели Плана в случаях, предусмотренных </w:t>
      </w:r>
      <w:hyperlink w:anchor="P113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12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формируют сведения о движении денежных средств (рекомендуемый образец сведений о поступлениях и выплатах приведен в </w:t>
      </w:r>
      <w:hyperlink w:anchor="P23747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приложении № 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>2 к Порядку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13"/>
      <w:bookmarkEnd w:id="1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12. Учреждение по решению органа – учредителя вправе осуществлять внесение изменений в показатели Плана без внесения изменений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соответствующие обоснования (расчеты) плановых показателей исходя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из информации, содержащейся в документах о поступлении денежных средств или являющихся основанием для осуществления выплат, ранее не включенных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показатели Плана: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а) при поступлении в текущем финансовом году: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сумм возврата по ранее произведенным выплатам, в том числе дебиторской задолженности прошлых лет;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сумм, поступивших в возмещение ущерба, недостач, выявленных в текущем финансовом году, а также в виде пени, штрафов, неустоек по договорам, контрактам;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>сумм, поступивших по решению суда или на основании исполнительных документов;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б) при необходимости осуществления выплат: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оплате неисполненных обязатель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ошлых лет;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возмещению ущерба;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решению суда, на основании исполнительных документов;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уплате штрафов, в том числе административных.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13. При внесении изменений в показатели Плана в случае, установленном </w:t>
      </w:r>
      <w:hyperlink w:anchor="P108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подпунктом «в» пункта 10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при реорганизации: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а) в формах присоединения, слияния – показатели План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 учреждения(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 – правопреемника(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 формируются с учетом показателей Планов реорганизуемых учреждений, прекращающих свою деятельность, путем суммирования (построчного объединения) показателей поступлений и выплат;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б) в форме выделения –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в) в форме разделения – показатели Планов формируются путем разделения соответствующих показателей поступлений и выплат Плана реорганизованного учреждения, прекращающего свою деятельность, в разрезе вновь возникших юридических лиц.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 учреждения(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) до начала реорганизации.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После завершения реорганизации данные по поступлениям и выплатам учреждения уточняются в части взаимосвязанных поступлений и выплат (при необходимости).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14. Внесение изменений в показатели Плана на текущий финансовый год осуществляется не позднее одного рабочего дня до окончания текущего финансового года.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132"/>
      <w:bookmarkEnd w:id="2"/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IV. Составление и ведение обоснований (расчетов)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плановых показателей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15. Обоснования (расчеты) плановых показателей являются неотъемлемой частью Плана и формируются учреждением при составлении проекта Плана на второй год планового периода и при необходимости уточнения показателей Плана на очередной год и плановый период.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Обоснования (расчеты) плановых показателей изменяются (уточняются) учреждением при необходимости внесения изменений в показатели Плана текущего финансового года и планового периода, за исключением случаев, </w:t>
      </w: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w:anchor="P113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12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16.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соглашениям), а также расчетов прочих поступлений, не относящихся к доходам.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принятых и неисполненных на начало финансового года обязательств, а также расчетов планируемых к предоставлению ссуд и кредитов, а также возврата ранее полученных займов и ссуд.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17. Расчеты доходов формируются: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индивидуализации, проценты по депозитам, остаткам денежных средств);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доходам в виде безвозмездных денежных поступлений (в том числе грантов, пожертвований);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доходам в виде целевых субсидий, а также субсидий на осуществление капитальных вложений;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18. Расчет доходов от использования собственности осуществляется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услуг (выполнения работ) в рамках установленного муниципального задания включаются в обоснования (расчеты) плановых показателей на основании информации, полученной от органа - учредителя или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дополнительным соглашением к соглашению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на оказание муниципальных услуг (выполнение работ).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Расчет доходов от оказания услуг (выполнения работ) за плату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доходов в виде возмещения расходов, понесенных в связи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с эксплуатацией муниципального имущества, закрепленного на праве оперативного управления, платы за общежитие, квартирной платы, осуществляется исходя из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объема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20. Расчет доходов в виде штрафов, а также средств, получаемых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случая, осуществляется в размере, определенном указанными решениями.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21. Расчет доходов от иной приносящей доход деятельности осуществляется с учетом стоимости услуг по одному договору, количества указанных поступлений, с учетом информации о среднем за последние три года количестве указанных поступлений и их размера, а также иных прогнозных показателей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их вида, установленных органом – учредителем.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осуществляется по видам осуществляемых учреждением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ГОСТами, СНиПами, СанПиНами, нормативными правовыми (правовыми) актами, в том числе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стандартами, порядками и регламентами (паспортами) оказания муниципальных услуг (выполнения работ), включая требования к обеспечению их безопасности.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23. Расчеты расходов (за исключением расходов на закупку товаров, работ, услуг) детализируются по источникам их финансового обеспечения в случае принятия органом – учредителем решения об их детализации.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заболеваний, на обязательное медицинское страхование.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При расчете плановых показателей расходов на оплату труда учитываются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если отдельные виды стимулирующих выплат, а также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с учетом размера выплат, установленного указанными актами.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выплаты компенсационного характера персоналу,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расходов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оплату стоимости проезда и провоза багажа к месту использования отпуска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и обратно для лиц, работающих в районах Крайнего Севера и приравненных к ним местностях, и членов их семей, иные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если отдельные виды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на оплату труда осуществляется с учетом установленного размера указанных выплат.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выплаты по социальному обеспечению и иным выплатам населению, не связанным с выплатами работникам, возникающими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к памятным датам, профессиональным праздникам, осуществляется с учетом количества планируемых выплат (количества получателей выплат и периода осуществления выплаты) в год и их размера.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28.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29. Расчет расходов на безвозмездные перечисления организациям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и физическим лицам осуществляется с учетом количества планируемых безвозмездных перечислений организациям, периодичности перечисления и их размера.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30.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71"/>
      <w:bookmarkEnd w:id="3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31.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интернет-трафика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32. Расчет расходов на транспортные услуги осуществляется с учетом видов услуг по перевозке (транспортировке) грузов, пассажирских перевозок, количества оказываемых услуг и стоимости указанных услуг.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одноставочного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двуставочного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1F473A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1F473A">
        <w:rPr>
          <w:rFonts w:ascii="Times New Roman" w:eastAsia="Times New Roman" w:hAnsi="Times New Roman" w:cs="Times New Roman"/>
          <w:sz w:val="24"/>
          <w:szCs w:val="24"/>
        </w:rPr>
        <w:t>-профилактических работ по ремонту оборудования и его обслуживанию, требований к периодичности проведения технических осмотров,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его эксплуатации.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обязательное страхование, в том числе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обязательное страхование гражданской ответственности владельцев транспортных средств, страховой премии (страховых взносов) осуществляется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77"/>
      <w:bookmarkEnd w:id="4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37. Расчет расходов на повышение квалификации (профессиональную переподготовку) осуществляется с учетом требований законодательства Российской Федерации к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повышению квалификации, наличия профессиональных аттестатов, количества работников, направляемых на повышение квалификации,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br/>
        <w:t>и цены обучения одного работника по каждому виду дополнительного профессионального образования.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</w:t>
      </w: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в </w:t>
      </w:r>
      <w:hyperlink w:anchor="P171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пунктах 31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w:anchor="P177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37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t>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а также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>, работ, услуг, в том числе информации о ценах изготовителей.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41.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показателям плана – 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</w:t>
      </w: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муниципальных нужд»;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</w:t>
      </w:r>
      <w:hyperlink r:id="rId7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 июля 2011 года № 223-ФЗ «О закупках товаров, работ, услуг отдельными видами юридических лиц»</w:t>
      </w:r>
      <w:r w:rsidRPr="001F47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42. Расчет расходов на осуществление капитальных вложений производится по каждому объекту капитального строительства или объекта недвижимого имущества: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43.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Правительством Российской Федерации в </w:t>
      </w:r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hyperlink r:id="rId8" w:history="1"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абзацем первым </w:t>
        </w:r>
        <w:r w:rsidRPr="001F47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пункта 4 статьи 69.2</w:t>
        </w:r>
      </w:hyperlink>
      <w:r w:rsidRPr="001F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44. Расчет выплат в целях предоставления грантов, безвозмездных перечислений осуществляется в соответствии с нормативными правовыми актами Российской Федерации, устанавливающими соответствующие выплаты и их размер.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45. В случае</w:t>
      </w:r>
      <w:proofErr w:type="gramStart"/>
      <w:r w:rsidRPr="001F47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 если учреждением не планируется получать отдельные доходы и осуществлять отдельные расходы, то обоснования (расчеты) плановых показателей по указанным доходам и расходам не формируются.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b/>
          <w:sz w:val="24"/>
          <w:szCs w:val="24"/>
        </w:rPr>
        <w:t>IV. Требования к утверждению Плана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46. После утверждения в установленном порядке решения о бюджете План при необходимости уточняется учреждением, не позднее 15 дней после официального опубликования решения о бюджете направляется на утверждение руководителем или учредителем. 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47. План подписывается должностными лицами, ответственными за содержащиеся в Плане данные – руководителем учреждения, руководителем финансово-экономической службы учреждения, главным бухгалтером учреждения и исполнителем документа.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48. 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 xml:space="preserve">49. План муниципального бюджетного учреждения (План с учетом изменений) утверждается Администрацией. </w:t>
      </w:r>
    </w:p>
    <w:p w:rsidR="001F473A" w:rsidRPr="001F473A" w:rsidRDefault="001F473A" w:rsidP="001F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1F473A" w:rsidRPr="001F473A" w:rsidRDefault="001F473A" w:rsidP="001F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9F" w:rsidRDefault="008A489F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  <w:sectPr w:rsidR="00830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к Порядку составления и ведения планов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финансово-хозяйственной</w:t>
      </w:r>
      <w:proofErr w:type="gramEnd"/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деятельности муниципальных бюджетных и автономных учреждений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16"/>
          <w:szCs w:val="20"/>
          <w:lang w:eastAsia="ru-RU"/>
        </w:rPr>
      </w:pP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12631"/>
        <w:gridCol w:w="2268"/>
      </w:tblGrid>
      <w:tr w:rsidR="0083043A" w:rsidRPr="0083043A" w:rsidTr="00AA671B">
        <w:trPr>
          <w:trHeight w:val="227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83043A" w:rsidRPr="0083043A" w:rsidTr="00AA671B">
        <w:trPr>
          <w:trHeight w:val="264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83043A" w:rsidRPr="0083043A" w:rsidTr="00AA671B">
        <w:trPr>
          <w:trHeight w:val="264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(наименование должности</w:t>
            </w:r>
            <w:proofErr w:type="gramEnd"/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уполномоченного лица, </w:t>
            </w:r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утверждающего</w:t>
            </w:r>
            <w:proofErr w:type="gramEnd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документ)</w:t>
            </w:r>
          </w:p>
        </w:tc>
      </w:tr>
      <w:tr w:rsidR="0083043A" w:rsidRPr="0083043A" w:rsidTr="00AA671B">
        <w:trPr>
          <w:trHeight w:val="345"/>
        </w:trPr>
        <w:tc>
          <w:tcPr>
            <w:tcW w:w="14899" w:type="dxa"/>
            <w:gridSpan w:val="2"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____________ _____________________ </w:t>
            </w:r>
          </w:p>
        </w:tc>
      </w:tr>
      <w:tr w:rsidR="0083043A" w:rsidRPr="0083043A" w:rsidTr="00AA671B">
        <w:trPr>
          <w:trHeight w:val="264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(подпись)     (расшифровка подписи)</w:t>
            </w:r>
          </w:p>
        </w:tc>
      </w:tr>
      <w:tr w:rsidR="0083043A" w:rsidRPr="0083043A" w:rsidTr="00AA671B">
        <w:trPr>
          <w:trHeight w:val="264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"_____"   __________________</w:t>
            </w:r>
            <w:proofErr w:type="gramStart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043A" w:rsidRPr="0083043A" w:rsidTr="00AA671B">
        <w:trPr>
          <w:trHeight w:val="312"/>
        </w:trPr>
        <w:tc>
          <w:tcPr>
            <w:tcW w:w="14899" w:type="dxa"/>
            <w:gridSpan w:val="2"/>
            <w:noWrap/>
          </w:tcPr>
          <w:p w:rsidR="0083043A" w:rsidRPr="0083043A" w:rsidRDefault="0083043A" w:rsidP="0083043A">
            <w:pPr>
              <w:spacing w:after="0" w:line="240" w:lineRule="auto"/>
              <w:ind w:right="-529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170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83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83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финансово-хозяйственной деятельности на _____ год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113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312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"____"    _____________________ 20    г. &lt;1&gt;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По Сводному реестру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8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Глава по БК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339"/>
        </w:trPr>
        <w:tc>
          <w:tcPr>
            <w:tcW w:w="12631" w:type="dxa"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Орган, осуществляющий                                                                                 </w:t>
            </w:r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функции и полномочия учредителя</w:t>
            </w:r>
            <w:proofErr w:type="gramStart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П</w:t>
            </w:r>
            <w:proofErr w:type="gramEnd"/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о Сводному реестру</w:t>
            </w:r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____________________________</w:t>
            </w:r>
          </w:p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ИНН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113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360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Наименование муниципального учреждения</w:t>
            </w:r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_____________________________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363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Вид документа (первичный – «0», уточненный – «1», «2», «3», «…»)&lt;2&gt;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_____________________________                                                                                                                                                          КПП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trHeight w:val="50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По ОКЕИ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83043A" w:rsidRPr="0083043A" w:rsidTr="00AA671B">
        <w:trPr>
          <w:trHeight w:val="264"/>
        </w:trPr>
        <w:tc>
          <w:tcPr>
            <w:tcW w:w="12631" w:type="dxa"/>
            <w:noWrap/>
          </w:tcPr>
          <w:p w:rsidR="0083043A" w:rsidRPr="0083043A" w:rsidRDefault="0083043A" w:rsidP="0083043A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Ед. измерения: руб.                                                                                                              </w:t>
            </w:r>
          </w:p>
        </w:tc>
        <w:tc>
          <w:tcPr>
            <w:tcW w:w="2268" w:type="dxa"/>
            <w:noWrap/>
          </w:tcPr>
          <w:p w:rsidR="0083043A" w:rsidRPr="0083043A" w:rsidRDefault="0083043A" w:rsidP="00830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043A" w:rsidRPr="0083043A" w:rsidRDefault="0083043A" w:rsidP="0083043A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lastRenderedPageBreak/>
        <w:t>Раздел 1. Поступления и выплаты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634"/>
        <w:gridCol w:w="1277"/>
        <w:gridCol w:w="1292"/>
        <w:gridCol w:w="1380"/>
        <w:gridCol w:w="1380"/>
        <w:gridCol w:w="1430"/>
        <w:gridCol w:w="1430"/>
        <w:gridCol w:w="1259"/>
        <w:gridCol w:w="1124"/>
        <w:gridCol w:w="896"/>
        <w:gridCol w:w="896"/>
      </w:tblGrid>
      <w:tr w:rsidR="0083043A" w:rsidRPr="0083043A" w:rsidTr="00AA671B">
        <w:trPr>
          <w:jc w:val="center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5" w:name="Par49"/>
            <w:bookmarkEnd w:id="5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Код по бюджетной классификации Российской Федерации </w:t>
            </w:r>
            <w:hyperlink w:anchor="Par52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6" w:name="Par50"/>
            <w:bookmarkEnd w:id="6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Аналитический код </w:t>
            </w:r>
            <w:hyperlink w:anchor="Par528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Сумма, руб. (с точностью до двух знаков после запятой - 0,00)</w:t>
            </w:r>
          </w:p>
        </w:tc>
      </w:tr>
      <w:tr w:rsidR="0083043A" w:rsidRPr="0083043A" w:rsidTr="00AA671B">
        <w:trPr>
          <w:trHeight w:val="490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текущий финансовый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первый год планового периода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второй год планового периода</w:t>
            </w:r>
          </w:p>
        </w:tc>
      </w:tr>
      <w:tr w:rsidR="0083043A" w:rsidRPr="0083043A" w:rsidTr="00AA671B">
        <w:trPr>
          <w:cantSplit/>
          <w:trHeight w:val="1246"/>
          <w:jc w:val="center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(местный бюджет)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(областной бюджет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РФ (местный бюджет)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РФ (областной бюджет)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Поступления 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Остаток средств на начало текущего финансового года </w:t>
            </w:r>
            <w:hyperlink w:anchor="Par529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7" w:name="Par65"/>
            <w:bookmarkEnd w:id="7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Остаток средств на конец текущего финансового года </w:t>
            </w:r>
            <w:hyperlink w:anchor="Par529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8" w:name="Par73"/>
            <w:bookmarkEnd w:id="8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Поступления, всего: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доходы от собственности,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9" w:name="Par90"/>
            <w:bookmarkEnd w:id="9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доходы от оказания услуг,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работ, компенсации затрат учреждений,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    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субсидии на финансовое обеспечение            выполнения муниципального задания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от приносящей доход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целевые субсидии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субсидии на осуществление капитальных вложений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гранты, гранты в форме субсидий, пожертвования, иные безвозмездные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перечисления от физических и юридических лиц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1430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прочие доходы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доходы от операций с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0" w:name="Par180"/>
            <w:bookmarkEnd w:id="10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доходы от операций с нефинансовыми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доходы от выбытия основных средств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доходы от выбытия нематериальных активов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доходы от выбытия непроизводственных активов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доходы от выбытия нематериальных запасов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поступления от операций с финансовыми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поступление средств от реализации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векселей, облигаций и иных ценных бумаг (кроме акций)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1621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      поступления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прочие поступления, всего </w:t>
            </w:r>
            <w:hyperlink w:anchor="Par530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увеличение остатков денежных средств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поступление сре</w:t>
            </w: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амках расчетов между    головным учреждением и обособленным подразделением &lt;6&gt;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поступление средств от погашения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предоставленных ранее ссуд, кредитов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1730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     получение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Выплаты,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1" w:name="Par221"/>
            <w:bookmarkEnd w:id="11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на выплаты персоналу,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оплата труда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прочие выплаты персоналу, в том числе компенсационного характера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взносы на обязательное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2180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пособия, компенсации и иные социальные      выплаты гражданам, кроме публичных нормативных обязательств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выплата стипендий, осуществление иных расходов на социальную поддержку обучающихся за счет сре</w:t>
            </w: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дств ст</w:t>
            </w:r>
            <w:proofErr w:type="gramEnd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ипендиального фонда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на премирование физических лиц за достижения в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2240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населению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налог на имущество организаций и земельный налог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уплата штрафов (в том числе административных), пеней, иных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2330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гранты, предоставляемые бюджетным учреждениям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гранты, предоставляемые автономным учреждениям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гранты, предоставляемые  иным некоммерческим организациям (за исключением бюджетных и автономных учреждений)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2510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закупку товаров, работ, услуг, всего </w:t>
            </w:r>
            <w:hyperlink w:anchor="Par531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2" w:name="Par380"/>
            <w:bookmarkEnd w:id="12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закупку научно-исследовательских и опытно-    конструкторских и технологических работ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закупку товаров, работ, услуг в целях капитального ремонта муниципального имущества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прочую закупку товаров, работ и услуг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закупку товаров, работ и услуг для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2640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    закупку энергетических ресурсов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капитальные вложения в объекты муниципальной собственности,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приобретение объектов недвижимого имущества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строительство (реконструкция) объектов недвижимого имущества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3" w:name="Par462"/>
            <w:bookmarkEnd w:id="13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Выплаты, уменьшающие доход, всего </w:t>
            </w:r>
            <w:hyperlink w:anchor="Par53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4" w:name="Par470"/>
            <w:bookmarkEnd w:id="14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налог на прибыль </w:t>
            </w:r>
            <w:hyperlink w:anchor="Par53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налог на добавленную стоимость </w:t>
            </w:r>
            <w:hyperlink w:anchor="Par53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прочие налоги, уменьшающие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доход </w:t>
            </w:r>
            <w:hyperlink w:anchor="Par53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5" w:name="Par495"/>
            <w:bookmarkEnd w:id="15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3030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выплаты, всего </w:t>
            </w:r>
            <w:hyperlink w:anchor="Par533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&lt;9&gt;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6" w:name="Par503"/>
            <w:bookmarkEnd w:id="16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из них: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уменьшение остатков денежных средств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7" w:name="Par512"/>
            <w:bookmarkEnd w:id="17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перечисление сре</w:t>
            </w: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амках расчетов между головным учреждением и обособленным подразделением &lt;10&gt;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вложение денежных сре</w:t>
            </w: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дств в в</w:t>
            </w:r>
            <w:proofErr w:type="gramEnd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екселя, облигации и иные ценные бумаги (кроме акций)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вложение денежных средств в акции и иные финансовые инструменты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предоставление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возврат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У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казывается дата вступления в силу Плана (изменений в План).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&lt;2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П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ри представлении уточненного Плана указывается номер очередного внесения изменения в приложение (например, «1», «2», «…»).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&lt;3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графе 3 отражаются: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по строкам 1100 - 1600 - коды аналитической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группы подвида доходов бюджетов классификации доходов бюджетов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;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по строкам 1170 - 1740 - коды аналитической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группы вида источников финансирования дефицитов бюджетов классификации источников финансирования дефицитов </w:t>
      </w: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lastRenderedPageBreak/>
        <w:t>бюджетов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;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по строкам 2000 - 2642 - коды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видов расходов бюджетов классификации расходов бюджетов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;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по строкам 3000 - 3030 - коды аналитической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группы подвида доходов бюджетов классификации доходов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по строкам 4000 - 4060 - коды аналитической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&lt;4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П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о строкам 0001 и 0002 указываются планируемые суммы  остатков средств на начало и на конец  планируемого года, если указанные показатели по решению органа, осуществляющего функции и полномочия учредителя, планируются на этапе формирования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&lt;5&gt; 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микрозаймов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), а также за счет возврата средств, размещенных на банковских депозитах. При формировании Плана обособленному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ым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 подразделению 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&lt;6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П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о строке 1720 отражается поступление денежных средств в рамках расчетов между головным учреждением и обособленным (и) подразделением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ями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&lt;7&gt;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&lt;8&gt; Показатель отражается со знаком "минус".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&lt;9&gt; Показатели прочих выплат включают в себя,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микрозаймов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), размещения автономными учреждениями денежных средств на банковских депозитах. При формировании Плана обособленному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ым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 подразделению 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&lt;10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П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о строке 4020 отражается выбытие денежных средств в рамках расчетов между головным учреждением и обособленным (и) подразделением (</w:t>
      </w:r>
      <w:proofErr w:type="spell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ями</w:t>
      </w:r>
      <w:proofErr w:type="spell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Плане, утверждаемом юридическому лицу содержащем сводные показатели Плана не формируется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Раздел 2. Сведения по выплатам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на закупки товаров, работ, услуг &lt;10&gt;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tbl>
      <w:tblPr>
        <w:tblW w:w="15484" w:type="dxa"/>
        <w:jc w:val="center"/>
        <w:tblInd w:w="-78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828"/>
        <w:gridCol w:w="819"/>
        <w:gridCol w:w="1134"/>
        <w:gridCol w:w="1559"/>
        <w:gridCol w:w="1418"/>
        <w:gridCol w:w="1559"/>
        <w:gridCol w:w="1559"/>
        <w:gridCol w:w="1701"/>
        <w:gridCol w:w="1450"/>
      </w:tblGrid>
      <w:tr w:rsidR="0083043A" w:rsidRPr="0083043A" w:rsidTr="00AA671B">
        <w:trPr>
          <w:trHeight w:val="109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№ п. п.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Коды строк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Код по бюджетной классификации Российской Федерации&lt;14&gt;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ind w:right="4593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Уникальный код &lt;13&gt;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20__ г. (второй год планового периода)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 пределами планового периода</w:t>
            </w: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Выплаты на закупку товаров, работ, услуг всего </w:t>
            </w:r>
            <w:hyperlink w:anchor="Par749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&lt;14&gt;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8" w:name="Par557"/>
            <w:bookmarkEnd w:id="18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закона</w:t>
              </w:r>
            </w:hyperlink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и Федерального </w:t>
            </w:r>
            <w:hyperlink r:id="rId10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закона</w:t>
              </w:r>
            </w:hyperlink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от 18 июля 2011 года № 223-ФЗ "О закупках товаров,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работ, услуг отдельными видами юридических лиц" </w:t>
            </w:r>
            <w:hyperlink w:anchor="Par750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&lt;15&gt;</w:t>
              </w:r>
            </w:hyperlink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19" w:name="Par566"/>
            <w:bookmarkEnd w:id="19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</w:t>
            </w:r>
            <w:hyperlink w:anchor="Par750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&lt;15&gt;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0" w:name="Par574"/>
            <w:bookmarkEnd w:id="20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</w:t>
            </w:r>
            <w:hyperlink w:anchor="Par751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&lt;16&gt;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1" w:name="Par582"/>
            <w:bookmarkEnd w:id="21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 № 44-ФЗ,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223-ФЗ, всего  </w:t>
            </w:r>
            <w:hyperlink w:anchor="Par751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&lt;16&gt;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2" w:name="Par607"/>
            <w:bookmarkEnd w:id="22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 счет субсидий, предоставляемых на   финансовое обеспечение выполнения муниципального задания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3" w:name="Par616"/>
            <w:bookmarkEnd w:id="23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№ </w:t>
            </w: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264110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1.4.1.2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№ 223-ФЗ </w:t>
            </w:r>
            <w:hyperlink w:anchor="Par75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&lt;17&gt;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 счет субсидий, предоставляемых в соответствии с </w:t>
            </w:r>
            <w:hyperlink r:id="rId11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абзацем вторым пункта 1 статьи 78.1</w:t>
              </w:r>
            </w:hyperlink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4" w:name="Par641"/>
            <w:bookmarkEnd w:id="24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№ 223-ФЗ </w:t>
            </w:r>
            <w:hyperlink w:anchor="Par752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&lt;14&gt;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 счет субсидий, предоставляемых на осуществление капитальных вложений </w:t>
            </w:r>
            <w:hyperlink w:anchor="Par753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&lt;18&gt;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5" w:name="Par666"/>
            <w:bookmarkEnd w:id="25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 счет средств обязательного медицинского страхования,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6" w:name="Par674"/>
            <w:bookmarkEnd w:id="26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№ 223-ФЗ &lt;17&gt;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 счет прочих источников финансового обеспечения,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1.4.5.1.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№ 44-ФЗ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1.4.5.2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</w:t>
            </w:r>
            <w:hyperlink w:anchor="Par754" w:history="1">
              <w:r w:rsidRPr="0083043A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u w:val="single"/>
                  <w:lang w:eastAsia="ru-RU"/>
                </w:rPr>
                <w:t>&lt;19&gt;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27" w:name="Par699"/>
            <w:bookmarkEnd w:id="27"/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043A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04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43A" w:rsidRPr="0083043A" w:rsidTr="00AA671B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A" w:rsidRPr="0083043A" w:rsidRDefault="0083043A" w:rsidP="00830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Руководитель муниципального учреждения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(уполномоченное лицо)     _____________ _________ _____________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(должность)   (подпись)  (расшифровка)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Исполнитель           _____________ _________ _____________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(должность)     (подпись) (расшифровка)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"__" __________ 20__ г.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28" w:name="Par748"/>
      <w:bookmarkEnd w:id="28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&lt;11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В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hyperlink w:anchor="Par535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Разделе 2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 Раздела 1 «Поступления и выплаты» Плана.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29" w:name="Par749"/>
      <w:bookmarkEnd w:id="29"/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&lt;11&gt; Плановые показатели выплат на закупку товаров, работ, услуг по </w:t>
      </w:r>
      <w:hyperlink w:anchor="Par557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строке 26000 Раздела 2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"Сведения по выплатам на закупку товаров, работ, услуг" Плана </w:t>
      </w:r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lastRenderedPageBreak/>
        <w:t>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ar566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строки 26100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и </w:t>
      </w:r>
      <w:hyperlink w:anchor="Par574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26200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правовых актов о контрактной системе в сфере закупок товаров, работ, услуг 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ar582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(строка 26300)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и планируемым к заключению в соответствующем финансовом году </w:t>
      </w:r>
      <w:hyperlink w:anchor="Par607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(строка 26400)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и должны соответствовать показателям соответствующих граф по </w:t>
      </w:r>
      <w:hyperlink w:anchor="Par380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строке 2600 Раздела 1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"Поступления и выплаты" Плана.</w:t>
      </w:r>
      <w:proofErr w:type="gramEnd"/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30" w:name="Par750"/>
      <w:bookmarkEnd w:id="30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&lt;12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У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казывается сумма договоров (контрактов) о закупках товаров, работ, услуг, заключенных без учета требований Федерального закона № 44-ФЗ и Федерального закона № 223-ФЗ, в случаях, предусмотренных указанными федеральными законами.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31" w:name="Par751"/>
      <w:bookmarkEnd w:id="31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&lt;13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У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казывается сумма закупок товаров, работ, услуг, осуществляемых в соответствии с Федеральным законом № 44-ФЗ и Федеральным законом № 223-ФЗ.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32" w:name="Par752"/>
      <w:bookmarkEnd w:id="32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&lt;14&gt; Муниципальными бюджетными учреждениями - показатель не формируется.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33" w:name="Par753"/>
      <w:bookmarkEnd w:id="33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&lt;15</w:t>
      </w:r>
      <w:proofErr w:type="gramStart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&gt; У</w:t>
      </w:r>
      <w:proofErr w:type="gramEnd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казывается сумма закупок товаров, работ, услуг, осуществляемых в соответствии с Федеральным законом № 44-ФЗ.</w:t>
      </w:r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34" w:name="Par754"/>
      <w:bookmarkEnd w:id="34"/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&lt;16&gt; Плановые показатели выплат на закупку товаров, работ, услуг по </w:t>
      </w:r>
      <w:hyperlink w:anchor="Par699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строке 26500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муниципального бюджетного учреждения должен быть не менее суммы показателей </w:t>
      </w:r>
      <w:hyperlink w:anchor="Par616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 26410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</w:t>
      </w:r>
      <w:hyperlink w:anchor="Par641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26420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</w:t>
      </w:r>
      <w:hyperlink w:anchor="Par666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26430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</w:t>
      </w:r>
      <w:hyperlink w:anchor="Par674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26440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по соответствующей графе, муниципального автономного учреждения - не менее показателя </w:t>
      </w:r>
      <w:hyperlink w:anchor="Par666" w:history="1">
        <w:r w:rsidRPr="0083043A">
          <w:rPr>
            <w:rFonts w:ascii="Liberation Serif" w:eastAsia="Times New Roman" w:hAnsi="Liberation Serif" w:cs="Liberation Serif"/>
            <w:color w:val="000000"/>
            <w:sz w:val="20"/>
            <w:szCs w:val="20"/>
            <w:u w:val="single"/>
            <w:lang w:eastAsia="ru-RU"/>
          </w:rPr>
          <w:t>строки 26430</w:t>
        </w:r>
      </w:hyperlink>
      <w:r w:rsidRPr="0083043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по соответствующей графе.</w:t>
      </w:r>
      <w:bookmarkStart w:id="35" w:name="Par520"/>
      <w:bookmarkEnd w:id="35"/>
    </w:p>
    <w:p w:rsidR="0083043A" w:rsidRPr="0083043A" w:rsidRDefault="0083043A" w:rsidP="0083043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  <w:sectPr w:rsidR="0083043A" w:rsidSect="008304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6" w:name="_GoBack"/>
      <w:bookmarkEnd w:id="36"/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Default="0083043A">
      <w:pPr>
        <w:rPr>
          <w:rFonts w:ascii="Times New Roman" w:hAnsi="Times New Roman" w:cs="Times New Roman"/>
          <w:sz w:val="24"/>
          <w:szCs w:val="24"/>
        </w:rPr>
      </w:pPr>
    </w:p>
    <w:p w:rsidR="0083043A" w:rsidRPr="001F473A" w:rsidRDefault="0083043A">
      <w:pPr>
        <w:rPr>
          <w:rFonts w:ascii="Times New Roman" w:hAnsi="Times New Roman" w:cs="Times New Roman"/>
          <w:sz w:val="24"/>
          <w:szCs w:val="24"/>
        </w:rPr>
      </w:pPr>
    </w:p>
    <w:sectPr w:rsidR="0083043A" w:rsidRPr="001F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A"/>
    <w:rsid w:val="001F473A"/>
    <w:rsid w:val="0083043A"/>
    <w:rsid w:val="008A489F"/>
    <w:rsid w:val="00C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3043A"/>
  </w:style>
  <w:style w:type="paragraph" w:customStyle="1" w:styleId="ConsPlusNormal">
    <w:name w:val="ConsPlusNormal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83043A"/>
    <w:rPr>
      <w:rFonts w:cs="Times New Roman"/>
    </w:rPr>
  </w:style>
  <w:style w:type="character" w:styleId="a5">
    <w:name w:val="Hyperlink"/>
    <w:basedOn w:val="a0"/>
    <w:uiPriority w:val="99"/>
    <w:rsid w:val="0083043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3043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8304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8304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043A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304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3043A"/>
  </w:style>
  <w:style w:type="paragraph" w:customStyle="1" w:styleId="ConsPlusNormal">
    <w:name w:val="ConsPlusNormal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83043A"/>
    <w:rPr>
      <w:rFonts w:cs="Times New Roman"/>
    </w:rPr>
  </w:style>
  <w:style w:type="character" w:styleId="a5">
    <w:name w:val="Hyperlink"/>
    <w:basedOn w:val="a0"/>
    <w:uiPriority w:val="99"/>
    <w:rsid w:val="0083043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3043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8304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8304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043A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304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22633F69AB5417F5587F45B90AC7BD077A70AE873206FBDA57AB54BC0A4A54DB61634AAF0215D8D497CD4FFA079FA96AB7ED9003WAz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22633F69AB5417F5587F45B90AC7BD077A71A3853206FBDA57AB54BC0A4A46DB396F4BA61D1E859BD19840WFz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B22633F69AB5417F5587F45B90AC7BD07737CA2873206FBDA57AB54BC0A4A46DB396F4BA61D1E859BD19840WFz8G" TargetMode="External"/><Relationship Id="rId11" Type="http://schemas.openxmlformats.org/officeDocument/2006/relationships/hyperlink" Target="consultantplus://offline/ref=9C65DC897625FFC4481BCDB35EF181A9777C9FE5328016A0F7FA8DEC7F1B468FD6F693BD7810DFE076742B595A8FBA999E5B44294817T1l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C65DC897625FFC4481BCDB35EF181A9777C99E5328516A0F7FA8DEC7F1B468FC4F6CBB37B11C7EA203B6D0C56T8l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77D9DE13E8916A0F7FA8DEC7F1B468FC4F6CBB37B11C7EA203B6D0C56T8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2022-05-17T07:18:00Z</cp:lastPrinted>
  <dcterms:created xsi:type="dcterms:W3CDTF">2022-05-17T07:03:00Z</dcterms:created>
  <dcterms:modified xsi:type="dcterms:W3CDTF">2022-05-20T04:16:00Z</dcterms:modified>
</cp:coreProperties>
</file>